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FE" w:rsidRDefault="006D3B4F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Meeting of the Full Council </w:t>
      </w:r>
      <w:r w:rsidR="006B7A64">
        <w:rPr>
          <w:rFonts w:ascii="Arial-BoldMT" w:hAnsi="Arial-BoldMT" w:cs="Arial-BoldMT"/>
          <w:b/>
          <w:bCs/>
          <w:sz w:val="24"/>
          <w:szCs w:val="24"/>
        </w:rPr>
        <w:t>-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18 July 2019</w:t>
      </w:r>
    </w:p>
    <w:p w:rsidR="00951B00" w:rsidRDefault="006D3B4F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B48FE" w:rsidRDefault="006D3B4F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Report of the Employment Committee meeting held on 8 July 2019</w:t>
      </w:r>
    </w:p>
    <w:p w:rsidR="00AB48FE" w:rsidRDefault="006D3B4F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Chair: County Councillor Geoff Driver</w:t>
      </w:r>
    </w:p>
    <w:p w:rsidR="005313EC" w:rsidRDefault="006D3B4F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313EC">
        <w:rPr>
          <w:rFonts w:ascii="Arial-BoldMT" w:hAnsi="Arial-BoldMT" w:cs="Arial-BoldMT"/>
          <w:b/>
          <w:bCs/>
          <w:sz w:val="24"/>
          <w:szCs w:val="24"/>
        </w:rPr>
        <w:t>Part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I (</w:t>
      </w:r>
      <w:r w:rsidRPr="006645C4">
        <w:rPr>
          <w:rFonts w:ascii="Arial-BoldMT" w:hAnsi="Arial-BoldMT" w:cs="Arial-BoldMT"/>
          <w:b/>
          <w:bCs/>
          <w:sz w:val="24"/>
          <w:szCs w:val="24"/>
        </w:rPr>
        <w:t>Open to Press and Public)</w:t>
      </w:r>
    </w:p>
    <w:p w:rsid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313EC" w:rsidRPr="005313EC" w:rsidRDefault="006D3B4F" w:rsidP="005313EC">
      <w:pPr>
        <w:spacing w:after="0" w:line="240" w:lineRule="auto"/>
        <w:rPr>
          <w:rFonts w:ascii="Arial" w:eastAsia="Times New Roman" w:hAnsi="Arial" w:cs="Arial"/>
          <w:bCs/>
          <w:sz w:val="24"/>
        </w:rPr>
      </w:pPr>
      <w:r w:rsidRPr="005313EC">
        <w:rPr>
          <w:rFonts w:ascii="Arial" w:eastAsia="Times New Roman" w:hAnsi="Arial" w:cs="Arial"/>
          <w:b/>
          <w:bCs/>
          <w:sz w:val="24"/>
          <w:szCs w:val="28"/>
          <w:bdr w:val="nil"/>
        </w:rPr>
        <w:t>Constitution, Membership and Terms of Reference</w:t>
      </w:r>
    </w:p>
    <w:p w:rsidR="005313EC" w:rsidRDefault="006D3B4F" w:rsidP="005313EC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5313EC" w:rsidRPr="005313EC" w:rsidRDefault="006D3B4F" w:rsidP="005313EC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313EC">
        <w:rPr>
          <w:rFonts w:ascii="Arial" w:eastAsia="Times New Roman" w:hAnsi="Arial" w:cs="Times New Roman"/>
          <w:bCs/>
          <w:sz w:val="24"/>
          <w:szCs w:val="24"/>
        </w:rPr>
        <w:t>The Committee reviewed a report detailing the membership, Chairmanship and Committee Terms of Reference for the 2019/20 municipal year.</w:t>
      </w:r>
    </w:p>
    <w:p w:rsidR="005313EC" w:rsidRPr="005313EC" w:rsidRDefault="006D3B4F" w:rsidP="005313EC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5313EC">
        <w:rPr>
          <w:rFonts w:ascii="ArialMT" w:eastAsia="Calibri" w:hAnsi="ArialMT" w:cs="ArialMT"/>
          <w:b/>
          <w:sz w:val="24"/>
          <w:szCs w:val="24"/>
        </w:rPr>
        <w:t>Resolved:</w:t>
      </w:r>
      <w:r w:rsidRPr="005313EC">
        <w:rPr>
          <w:rFonts w:ascii="ArialMT" w:eastAsia="Calibri" w:hAnsi="ArialMT" w:cs="ArialMT"/>
          <w:sz w:val="24"/>
          <w:szCs w:val="24"/>
        </w:rPr>
        <w:t xml:space="preserve"> That</w:t>
      </w: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</w:p>
    <w:p w:rsidR="005313EC" w:rsidRPr="005313EC" w:rsidRDefault="006D3B4F" w:rsidP="00531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eastAsia="Calibri" w:hAnsi="ArialMT" w:cs="ArialMT"/>
          <w:sz w:val="24"/>
          <w:szCs w:val="24"/>
        </w:rPr>
      </w:pPr>
      <w:r w:rsidRPr="005313EC">
        <w:rPr>
          <w:rFonts w:ascii="ArialMT" w:eastAsia="Calibri" w:hAnsi="ArialMT" w:cs="ArialMT"/>
          <w:sz w:val="24"/>
          <w:szCs w:val="24"/>
        </w:rPr>
        <w:t xml:space="preserve">The appointment of County Councillors G Driver and K Iddon as Chair and Deputy Chair respectively of </w:t>
      </w:r>
      <w:r w:rsidRPr="005313EC">
        <w:rPr>
          <w:rFonts w:ascii="ArialMT" w:eastAsia="Calibri" w:hAnsi="ArialMT" w:cs="ArialMT"/>
          <w:sz w:val="24"/>
          <w:szCs w:val="24"/>
        </w:rPr>
        <w:t>the Employment Committee for the 2019/20 municipal year be noted.</w:t>
      </w: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ind w:left="709"/>
        <w:rPr>
          <w:rFonts w:ascii="ArialMT" w:eastAsia="Calibri" w:hAnsi="ArialMT" w:cs="ArialMT"/>
          <w:sz w:val="24"/>
          <w:szCs w:val="24"/>
        </w:rPr>
      </w:pPr>
    </w:p>
    <w:p w:rsidR="005313EC" w:rsidRPr="005313EC" w:rsidRDefault="006D3B4F" w:rsidP="00531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eastAsia="Calibri" w:hAnsi="ArialMT" w:cs="ArialMT"/>
          <w:sz w:val="24"/>
          <w:szCs w:val="24"/>
        </w:rPr>
      </w:pPr>
      <w:r w:rsidRPr="005313EC">
        <w:rPr>
          <w:rFonts w:ascii="ArialMT" w:eastAsia="Calibri" w:hAnsi="ArialMT" w:cs="ArialMT"/>
          <w:sz w:val="24"/>
          <w:szCs w:val="24"/>
        </w:rPr>
        <w:t>The membership and terms of reference of the Employment Committee for the 2019/20 municipal year be noted.</w:t>
      </w:r>
    </w:p>
    <w:p w:rsidR="005313EC" w:rsidRDefault="006D3B4F" w:rsidP="00AB48FE">
      <w:pPr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4B359A" w:rsidRDefault="006D3B4F" w:rsidP="00AB48FE">
      <w:pPr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 II (Not Open to Press and Public)</w:t>
      </w:r>
    </w:p>
    <w:p w:rsidR="00AB48FE" w:rsidRDefault="006D3B4F" w:rsidP="00AB48FE">
      <w:pPr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Cs/>
          <w:sz w:val="24"/>
          <w:szCs w:val="24"/>
        </w:rPr>
      </w:pPr>
      <w:r w:rsidRPr="005313EC">
        <w:rPr>
          <w:rFonts w:ascii="ArialMT" w:eastAsia="Calibri" w:hAnsi="ArialMT" w:cs="ArialMT"/>
          <w:sz w:val="24"/>
          <w:szCs w:val="24"/>
        </w:rPr>
        <w:t>(Not for Publication – Exempt information as defined in Paragraphs 2 and 3 of Part 1 of Schedule 12A to the Local Government Act, 1972. It is considered that in all the circumstances of the case the public interest in maintaining the exemption outweighed t</w:t>
      </w:r>
      <w:r w:rsidRPr="005313EC">
        <w:rPr>
          <w:rFonts w:ascii="ArialMT" w:eastAsia="Calibri" w:hAnsi="ArialMT" w:cs="ArialMT"/>
          <w:sz w:val="24"/>
          <w:szCs w:val="24"/>
        </w:rPr>
        <w:t>he public interests in disclosing the information).</w:t>
      </w: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Cs/>
          <w:sz w:val="24"/>
          <w:szCs w:val="24"/>
        </w:rPr>
      </w:pP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5313EC">
        <w:rPr>
          <w:rFonts w:ascii="ArialMT" w:eastAsia="Calibri" w:hAnsi="ArialMT" w:cs="ArialMT"/>
          <w:sz w:val="24"/>
          <w:szCs w:val="24"/>
        </w:rPr>
        <w:t>The Committee reviewed a report setting out pay proposals made by the Local Pensions Partnership Limited (LPP) and amendments to the Local Pensions Partnership's remuneration policy.</w:t>
      </w: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5313EC">
        <w:rPr>
          <w:rFonts w:ascii="ArialMT" w:eastAsia="Calibri" w:hAnsi="ArialMT" w:cs="ArialMT"/>
          <w:b/>
          <w:sz w:val="24"/>
          <w:szCs w:val="24"/>
        </w:rPr>
        <w:t>Resolved:</w:t>
      </w:r>
      <w:r w:rsidRPr="005313EC">
        <w:rPr>
          <w:rFonts w:ascii="ArialMT" w:eastAsia="Calibri" w:hAnsi="ArialMT" w:cs="ArialMT"/>
          <w:sz w:val="24"/>
          <w:szCs w:val="24"/>
        </w:rPr>
        <w:t xml:space="preserve"> That</w:t>
      </w: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</w:p>
    <w:p w:rsidR="005313EC" w:rsidRPr="005313EC" w:rsidRDefault="006D3B4F" w:rsidP="00531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5313EC">
        <w:rPr>
          <w:rFonts w:ascii="ArialMT" w:eastAsia="Calibri" w:hAnsi="ArialMT" w:cs="ArialMT"/>
          <w:sz w:val="24"/>
          <w:szCs w:val="24"/>
        </w:rPr>
        <w:t>The</w:t>
      </w:r>
      <w:r w:rsidRPr="005313EC">
        <w:rPr>
          <w:rFonts w:ascii="ArialMT" w:eastAsia="Calibri" w:hAnsi="ArialMT" w:cs="ArialMT"/>
          <w:sz w:val="24"/>
          <w:szCs w:val="24"/>
        </w:rPr>
        <w:t xml:space="preserve"> recruitment and appointment to the roles set out in the report be approved.</w:t>
      </w:r>
    </w:p>
    <w:p w:rsidR="005313EC" w:rsidRPr="005313EC" w:rsidRDefault="006D3B4F" w:rsidP="005313EC">
      <w:pPr>
        <w:autoSpaceDE w:val="0"/>
        <w:autoSpaceDN w:val="0"/>
        <w:adjustRightInd w:val="0"/>
        <w:spacing w:after="0" w:line="240" w:lineRule="auto"/>
        <w:ind w:left="709"/>
        <w:rPr>
          <w:rFonts w:ascii="ArialMT" w:eastAsia="Calibri" w:hAnsi="ArialMT" w:cs="ArialMT"/>
          <w:sz w:val="24"/>
          <w:szCs w:val="24"/>
        </w:rPr>
      </w:pPr>
    </w:p>
    <w:p w:rsidR="005313EC" w:rsidRPr="005313EC" w:rsidRDefault="006D3B4F" w:rsidP="00531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eastAsia="Calibri" w:hAnsi="ArialMT" w:cs="ArialMT"/>
          <w:sz w:val="24"/>
          <w:szCs w:val="24"/>
        </w:rPr>
      </w:pPr>
      <w:r w:rsidRPr="005313EC">
        <w:rPr>
          <w:rFonts w:ascii="ArialMT" w:eastAsia="Calibri" w:hAnsi="ArialMT" w:cs="ArialMT"/>
          <w:sz w:val="24"/>
          <w:szCs w:val="24"/>
        </w:rPr>
        <w:t>The Head of Fund agree the final pay for these roles if they were within a 5% threshold of the approved salary ranges as set out in the report.</w:t>
      </w:r>
    </w:p>
    <w:p w:rsidR="005313EC" w:rsidRPr="005313EC" w:rsidRDefault="006D3B4F" w:rsidP="005313EC">
      <w:pPr>
        <w:spacing w:after="0" w:line="240" w:lineRule="auto"/>
        <w:ind w:left="720"/>
        <w:rPr>
          <w:rFonts w:ascii="ArialMT" w:eastAsia="Calibri" w:hAnsi="ArialMT" w:cs="ArialMT"/>
          <w:sz w:val="24"/>
          <w:szCs w:val="24"/>
        </w:rPr>
      </w:pPr>
    </w:p>
    <w:p w:rsidR="005313EC" w:rsidRPr="005313EC" w:rsidRDefault="006D3B4F" w:rsidP="00531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eastAsia="Calibri" w:hAnsi="ArialMT" w:cs="ArialMT"/>
          <w:bCs/>
          <w:sz w:val="24"/>
          <w:szCs w:val="24"/>
        </w:rPr>
      </w:pPr>
      <w:r w:rsidRPr="005313EC">
        <w:rPr>
          <w:rFonts w:ascii="ArialMT" w:eastAsia="Calibri" w:hAnsi="ArialMT" w:cs="ArialMT"/>
          <w:sz w:val="24"/>
          <w:szCs w:val="24"/>
        </w:rPr>
        <w:t>The amendments to the Local Pensi</w:t>
      </w:r>
      <w:r w:rsidRPr="005313EC">
        <w:rPr>
          <w:rFonts w:ascii="ArialMT" w:eastAsia="Calibri" w:hAnsi="ArialMT" w:cs="ArialMT"/>
          <w:sz w:val="24"/>
          <w:szCs w:val="24"/>
        </w:rPr>
        <w:t>ons Partnership's remuneration policy as set out in the report be approved.</w:t>
      </w:r>
    </w:p>
    <w:p w:rsidR="005313EC" w:rsidRDefault="006D3B4F" w:rsidP="00AB48FE">
      <w:pPr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sectPr w:rsidR="0053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40B"/>
    <w:multiLevelType w:val="hybridMultilevel"/>
    <w:tmpl w:val="747AC7C8"/>
    <w:lvl w:ilvl="0" w:tplc="716E1546">
      <w:start w:val="1"/>
      <w:numFmt w:val="lowerRoman"/>
      <w:lvlText w:val="(%1)"/>
      <w:lvlJc w:val="left"/>
      <w:pPr>
        <w:ind w:left="720" w:hanging="720"/>
      </w:pPr>
    </w:lvl>
    <w:lvl w:ilvl="1" w:tplc="75605E4E">
      <w:start w:val="1"/>
      <w:numFmt w:val="lowerLetter"/>
      <w:lvlText w:val="%2."/>
      <w:lvlJc w:val="left"/>
      <w:pPr>
        <w:ind w:left="1080" w:hanging="360"/>
      </w:pPr>
    </w:lvl>
    <w:lvl w:ilvl="2" w:tplc="3224DED8">
      <w:start w:val="1"/>
      <w:numFmt w:val="lowerRoman"/>
      <w:lvlText w:val="%3."/>
      <w:lvlJc w:val="right"/>
      <w:pPr>
        <w:ind w:left="1800" w:hanging="180"/>
      </w:pPr>
    </w:lvl>
    <w:lvl w:ilvl="3" w:tplc="B7C6989C">
      <w:start w:val="1"/>
      <w:numFmt w:val="decimal"/>
      <w:lvlText w:val="%4."/>
      <w:lvlJc w:val="left"/>
      <w:pPr>
        <w:ind w:left="2520" w:hanging="360"/>
      </w:pPr>
    </w:lvl>
    <w:lvl w:ilvl="4" w:tplc="3FB0CFEA">
      <w:start w:val="1"/>
      <w:numFmt w:val="lowerLetter"/>
      <w:lvlText w:val="%5."/>
      <w:lvlJc w:val="left"/>
      <w:pPr>
        <w:ind w:left="3240" w:hanging="360"/>
      </w:pPr>
    </w:lvl>
    <w:lvl w:ilvl="5" w:tplc="C4C41EE0">
      <w:start w:val="1"/>
      <w:numFmt w:val="lowerRoman"/>
      <w:lvlText w:val="%6."/>
      <w:lvlJc w:val="right"/>
      <w:pPr>
        <w:ind w:left="3960" w:hanging="180"/>
      </w:pPr>
    </w:lvl>
    <w:lvl w:ilvl="6" w:tplc="F67A342E">
      <w:start w:val="1"/>
      <w:numFmt w:val="decimal"/>
      <w:lvlText w:val="%7."/>
      <w:lvlJc w:val="left"/>
      <w:pPr>
        <w:ind w:left="4680" w:hanging="360"/>
      </w:pPr>
    </w:lvl>
    <w:lvl w:ilvl="7" w:tplc="2A0A0DA0">
      <w:start w:val="1"/>
      <w:numFmt w:val="lowerLetter"/>
      <w:lvlText w:val="%8."/>
      <w:lvlJc w:val="left"/>
      <w:pPr>
        <w:ind w:left="5400" w:hanging="360"/>
      </w:pPr>
    </w:lvl>
    <w:lvl w:ilvl="8" w:tplc="0ADAA91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41070A"/>
    <w:multiLevelType w:val="multilevel"/>
    <w:tmpl w:val="30B637E6"/>
    <w:lvl w:ilvl="0">
      <w:start w:val="3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5410711"/>
    <w:multiLevelType w:val="hybridMultilevel"/>
    <w:tmpl w:val="2E1A1F96"/>
    <w:lvl w:ilvl="0" w:tplc="EC7866B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338C81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14E741A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D8968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5FC3E5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78A619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F10496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AE8616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D14659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410712"/>
    <w:multiLevelType w:val="hybridMultilevel"/>
    <w:tmpl w:val="A2EE08EA"/>
    <w:lvl w:ilvl="0" w:tplc="24482AB4">
      <w:start w:val="1"/>
      <w:numFmt w:val="lowerRoman"/>
      <w:lvlText w:val="(%1)"/>
      <w:lvlJc w:val="left"/>
      <w:pPr>
        <w:ind w:left="720" w:hanging="720"/>
      </w:pPr>
    </w:lvl>
    <w:lvl w:ilvl="1" w:tplc="A2A4E4B4">
      <w:start w:val="1"/>
      <w:numFmt w:val="lowerLetter"/>
      <w:lvlText w:val="%2."/>
      <w:lvlJc w:val="left"/>
      <w:pPr>
        <w:ind w:left="1080" w:hanging="360"/>
      </w:pPr>
    </w:lvl>
    <w:lvl w:ilvl="2" w:tplc="5CC0B62A">
      <w:start w:val="1"/>
      <w:numFmt w:val="lowerRoman"/>
      <w:lvlText w:val="%3."/>
      <w:lvlJc w:val="right"/>
      <w:pPr>
        <w:ind w:left="1800" w:hanging="180"/>
      </w:pPr>
    </w:lvl>
    <w:lvl w:ilvl="3" w:tplc="074E8FEE">
      <w:start w:val="1"/>
      <w:numFmt w:val="decimal"/>
      <w:lvlText w:val="%4."/>
      <w:lvlJc w:val="left"/>
      <w:pPr>
        <w:ind w:left="2520" w:hanging="360"/>
      </w:pPr>
    </w:lvl>
    <w:lvl w:ilvl="4" w:tplc="080E4092">
      <w:start w:val="1"/>
      <w:numFmt w:val="lowerLetter"/>
      <w:lvlText w:val="%5."/>
      <w:lvlJc w:val="left"/>
      <w:pPr>
        <w:ind w:left="3240" w:hanging="360"/>
      </w:pPr>
    </w:lvl>
    <w:lvl w:ilvl="5" w:tplc="6F3E2BDE">
      <w:start w:val="1"/>
      <w:numFmt w:val="lowerRoman"/>
      <w:lvlText w:val="%6."/>
      <w:lvlJc w:val="right"/>
      <w:pPr>
        <w:ind w:left="3960" w:hanging="180"/>
      </w:pPr>
    </w:lvl>
    <w:lvl w:ilvl="6" w:tplc="44802E64">
      <w:start w:val="1"/>
      <w:numFmt w:val="decimal"/>
      <w:lvlText w:val="%7."/>
      <w:lvlJc w:val="left"/>
      <w:pPr>
        <w:ind w:left="4680" w:hanging="360"/>
      </w:pPr>
    </w:lvl>
    <w:lvl w:ilvl="7" w:tplc="29BC880E">
      <w:start w:val="1"/>
      <w:numFmt w:val="lowerLetter"/>
      <w:lvlText w:val="%8."/>
      <w:lvlJc w:val="left"/>
      <w:pPr>
        <w:ind w:left="5400" w:hanging="360"/>
      </w:pPr>
    </w:lvl>
    <w:lvl w:ilvl="8" w:tplc="EC0058B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64"/>
    <w:rsid w:val="006B7A64"/>
    <w:rsid w:val="006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EF9A"/>
  <w15:docId w15:val="{9695EE42-C2D0-48EA-A309-DDA7FFC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Debra</dc:creator>
  <cp:lastModifiedBy>Gorman, Dave</cp:lastModifiedBy>
  <cp:revision>5</cp:revision>
  <dcterms:created xsi:type="dcterms:W3CDTF">2019-07-09T08:58:00Z</dcterms:created>
  <dcterms:modified xsi:type="dcterms:W3CDTF">2019-07-09T13:41:00Z</dcterms:modified>
</cp:coreProperties>
</file>